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</w:rPr>
      </w:pPr>
      <w:r>
        <w:rPr>
          <w:rFonts w:hint="eastAsia" w:eastAsia="仿宋_GB2312"/>
        </w:rPr>
        <w:t>附件</w:t>
      </w:r>
      <w:r>
        <w:rPr>
          <w:rFonts w:eastAsia="仿宋_GB2312"/>
        </w:rPr>
        <w:t>2</w:t>
      </w:r>
      <w:r>
        <w:rPr>
          <w:rFonts w:hint="eastAsia" w:eastAsia="仿宋_GB231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2016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年二季度党外人士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意见建议稿件报送及采用情况统计表</w:t>
      </w:r>
    </w:p>
    <w:p>
      <w:pPr>
        <w:spacing w:line="600" w:lineRule="exact"/>
        <w:rPr>
          <w:rFonts w:eastAsia="仿宋_GB2312"/>
        </w:rPr>
      </w:pPr>
    </w:p>
    <w:tbl>
      <w:tblPr>
        <w:tblStyle w:val="6"/>
        <w:tblW w:w="8540" w:type="dxa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262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    位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报送篇数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采用篇数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成都市工商联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自贡市工商联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攀枝花市工商联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泸州市工商联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德阳市工商联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绵阳市工商联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广元市工商联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遂宁市工商联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内江市工商联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乐山市工商联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南充市工商联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宜宾市工商联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广安市工商联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达州市工商联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巴中市工商联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雅安市工商联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眉山市工商联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资阳市工商联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阿坝州工商联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甘孜州工商联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凉山州工商联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办公室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研究室（宣教办）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维权处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联络处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会员处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经济处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黑体"/>
              </w:rPr>
              <w:t>合计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17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</w:tr>
    </w:tbl>
    <w:p>
      <w:pPr>
        <w:spacing w:line="600" w:lineRule="exact"/>
        <w:ind w:firstLine="640"/>
        <w:rPr>
          <w:rFonts w:eastAsia="仿宋_GB2312"/>
        </w:rPr>
      </w:pPr>
      <w:bookmarkStart w:id="0" w:name="OLE_LINK1"/>
    </w:p>
    <w:p>
      <w:pPr>
        <w:spacing w:line="560" w:lineRule="exact"/>
        <w:ind w:firstLine="640"/>
        <w:rPr>
          <w:rFonts w:eastAsia="仿宋_GB2312"/>
        </w:rPr>
      </w:pPr>
      <w:r>
        <w:rPr>
          <w:rFonts w:hint="eastAsia" w:eastAsia="仿宋_GB2312"/>
        </w:rPr>
        <w:t>注：</w:t>
      </w:r>
      <w:r>
        <w:rPr>
          <w:rFonts w:eastAsia="仿宋_GB2312"/>
        </w:rPr>
        <w:t>1</w:t>
      </w:r>
      <w:r>
        <w:rPr>
          <w:rFonts w:hint="eastAsia" w:eastAsia="仿宋_GB2312"/>
        </w:rPr>
        <w:t>、以上表中“采用篇数”为省工商联采用篇数；</w:t>
      </w:r>
      <w:r>
        <w:rPr>
          <w:rFonts w:eastAsia="仿宋_GB2312"/>
        </w:rPr>
        <w:t>2</w:t>
      </w:r>
      <w:r>
        <w:rPr>
          <w:rFonts w:hint="eastAsia" w:eastAsia="仿宋_GB2312"/>
        </w:rPr>
        <w:t>、经与省委统战部协商，今后工商联党外人士意见建议不再要求非中共，注明建议人工商联职务、单位职务、是否各级人大代表、政协委员即可；</w:t>
      </w:r>
      <w:r>
        <w:rPr>
          <w:rFonts w:eastAsia="仿宋_GB2312"/>
        </w:rPr>
        <w:t>3</w:t>
      </w:r>
      <w:r>
        <w:rPr>
          <w:rFonts w:hint="eastAsia" w:eastAsia="仿宋_GB2312"/>
        </w:rPr>
        <w:t>、请各市（州）、机关各处（室）报送稿件时务必按类别标注“社情民情”或“党外人士意见建议”字样。</w:t>
      </w:r>
      <w:bookmarkEnd w:id="0"/>
    </w:p>
    <w:p>
      <w:bookmarkStart w:id="1" w:name="_GoBack"/>
      <w:bookmarkEnd w:id="1"/>
    </w:p>
    <w:sectPr>
      <w:footerReference r:id="rId3" w:type="default"/>
      <w:footerReference r:id="rId4" w:type="even"/>
      <w:pgSz w:w="11907" w:h="16840"/>
      <w:pgMar w:top="2098" w:right="1474" w:bottom="1985" w:left="1474" w:header="0" w:footer="1588" w:gutter="0"/>
      <w:pgNumType w:fmt="numberInDash"/>
      <w:cols w:space="425" w:num="1"/>
      <w:docGrid w:type="linesAndChars" w:linePitch="579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463CB"/>
    <w:rsid w:val="18F463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宋体"/>
      <w:bCs/>
      <w:snapToGrid/>
      <w:kern w:val="2"/>
      <w:sz w:val="21"/>
      <w:szCs w:val="21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spacing w:line="240" w:lineRule="atLeast"/>
      <w:ind w:left="420" w:firstLine="420"/>
    </w:pPr>
    <w:rPr>
      <w:rFonts w:eastAsia="宋体"/>
      <w:bCs/>
      <w:snapToGrid/>
      <w:kern w:val="2"/>
      <w:sz w:val="21"/>
      <w:szCs w:val="21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2016-07-15T03:48:00Z</dcterms:created>
  <dc:creator>Administrator</dc:creator>
  <cp:lastModifiedBy>Administrator</cp:lastModifiedBy>
  <dcterms:modified xsi:type="dcterms:W3CDTF">2016-07-15T03:48:54Z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